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О распределении в 20</w:t>
      </w:r>
      <w:r>
        <w:rPr>
          <w:rFonts w:ascii="Times New Roman" w:hAnsi="Times New Roman"/>
          <w:b w:val="0"/>
          <w:sz w:val="28"/>
        </w:rPr>
        <w:t xml:space="preserve">23</w:t>
      </w:r>
      <w:r>
        <w:rPr>
          <w:rFonts w:ascii="Times New Roman" w:hAnsi="Times New Roman"/>
          <w:b w:val="0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чет средств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снащен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дополнительного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культуры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искусства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музыкальными инструментами, оборудованием и учебными материалами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постановлением правительства Еврейской автономной области от </w:t>
      </w:r>
      <w:r>
        <w:rPr>
          <w:rFonts w:ascii="Times New Roman" w:hAnsi="Times New Roman"/>
          <w:sz w:val="28"/>
        </w:rPr>
        <w:t xml:space="preserve">04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</w:rPr>
        <w:t xml:space="preserve">.20</w:t>
      </w: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439</w:t>
      </w:r>
      <w:r>
        <w:rPr>
          <w:rFonts w:ascii="Times New Roman" w:hAnsi="Times New Roman"/>
          <w:sz w:val="28"/>
        </w:rPr>
        <w:t xml:space="preserve">-пп «</w:t>
      </w:r>
      <w:r>
        <w:rPr>
          <w:rFonts w:ascii="Times New Roman" w:hAnsi="Times New Roman"/>
          <w:sz w:val="28"/>
          <w:szCs w:val="28"/>
        </w:rPr>
        <w:t xml:space="preserve">Об утверждении Правил предоставления </w:t>
      </w:r>
      <w:r>
        <w:rPr>
          <w:rFonts w:ascii="Times New Roman" w:hAnsi="Times New Roman"/>
          <w:sz w:val="28"/>
          <w:szCs w:val="28"/>
        </w:rPr>
        <w:t xml:space="preserve">и Методики распределения в 2021-2023 годах субсидий из федерального и областного бюджетов</w:t>
      </w:r>
      <w:r>
        <w:rPr>
          <w:rFonts w:ascii="Times New Roman" w:hAnsi="Times New Roman"/>
          <w:sz w:val="28"/>
          <w:szCs w:val="28"/>
        </w:rPr>
        <w:t xml:space="preserve"> бюджетам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материалами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прилагаемое распределение в 20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субсидии за сч</w:t>
      </w:r>
      <w:r>
        <w:rPr>
          <w:rFonts w:ascii="Times New Roman" w:hAnsi="Times New Roman"/>
          <w:sz w:val="28"/>
          <w:szCs w:val="28"/>
        </w:rPr>
        <w:t xml:space="preserve">ет средств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материалами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 </w:t>
      </w:r>
      <w:r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Р.Э. Гольдштейн</w:t>
      </w:r>
      <w:r/>
    </w:p>
    <w:p>
      <w:r>
        <w:br w:type="page" w:clear="all"/>
      </w:r>
      <w:r/>
    </w:p>
    <w:tbl>
      <w:tblPr>
        <w:tblStyle w:val="6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УТВЕРЖДЕНО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Распоряжением правительства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_________________ № ____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sz w:val="28"/>
        </w:rPr>
        <w:t xml:space="preserve">суб</w:t>
      </w:r>
      <w:r>
        <w:rPr>
          <w:rFonts w:ascii="Times New Roman" w:hAnsi="Times New Roman"/>
          <w:sz w:val="28"/>
        </w:rPr>
        <w:t xml:space="preserve">сидии за счет средств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</w:t>
      </w:r>
      <w:bookmarkStart w:id="0" w:name="_GoBack"/>
      <w:r>
        <w:rPr>
          <w:rFonts w:ascii="Times New Roman" w:hAnsi="Times New Roman"/>
          <w:sz w:val="28"/>
        </w:rPr>
        <w:t xml:space="preserve">материалами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Еврейской автономной области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/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8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Смидовичский муниципальный район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2 620 405,00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75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  <w:r/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2 620 405,00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38"/>
    <w:uiPriority w:val="99"/>
  </w:style>
  <w:style w:type="character" w:styleId="44">
    <w:name w:val="Footer Char"/>
    <w:basedOn w:val="635"/>
    <w:link w:val="640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0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rFonts w:cs="Times New Roma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35"/>
    <w:link w:val="638"/>
    <w:uiPriority w:val="99"/>
    <w:rPr>
      <w:rFonts w:cs="Times New Roman"/>
    </w:rPr>
  </w:style>
  <w:style w:type="paragraph" w:styleId="640">
    <w:name w:val="Footer"/>
    <w:basedOn w:val="634"/>
    <w:link w:val="6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35"/>
    <w:link w:val="640"/>
    <w:uiPriority w:val="99"/>
    <w:rPr>
      <w:rFonts w:cs="Times New Roman"/>
    </w:rPr>
  </w:style>
  <w:style w:type="table" w:styleId="642">
    <w:name w:val="Table Grid"/>
    <w:basedOn w:val="636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644">
    <w:name w:val="Balloon Text"/>
    <w:basedOn w:val="634"/>
    <w:link w:val="64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5" w:customStyle="1">
    <w:name w:val="Текст выноски Знак"/>
    <w:basedOn w:val="635"/>
    <w:link w:val="64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revision>3</cp:revision>
  <dcterms:created xsi:type="dcterms:W3CDTF">2021-01-19T00:57:00Z</dcterms:created>
  <dcterms:modified xsi:type="dcterms:W3CDTF">2023-01-12T07:35:45Z</dcterms:modified>
</cp:coreProperties>
</file>